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667C8" w14:textId="77777777" w:rsidR="00634306" w:rsidRDefault="00634306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14:paraId="02082EAA" w14:textId="77777777" w:rsidR="00634306" w:rsidRDefault="00634306">
      <w:pPr>
        <w:autoSpaceDE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0EF2DC6B" w14:textId="77777777" w:rsidR="00634306" w:rsidRDefault="00634306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15FEB23E" w14:textId="77777777" w:rsidR="00634306" w:rsidRDefault="0063430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634306" w14:paraId="16D1648A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708B5EF" w14:textId="77777777" w:rsidR="00634306" w:rsidRDefault="00634306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38819E" w14:textId="77777777" w:rsidR="00634306" w:rsidRDefault="00634306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Gramatyka opisowa języka niemieckiego II</w:t>
            </w:r>
          </w:p>
        </w:tc>
      </w:tr>
      <w:tr w:rsidR="00634306" w14:paraId="660C19AD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A0AC950" w14:textId="77777777" w:rsidR="00634306" w:rsidRDefault="00634306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D9F156" w14:textId="77777777" w:rsidR="00634306" w:rsidRPr="00B72341" w:rsidRDefault="00634306">
            <w:pPr>
              <w:pStyle w:val="Zawartotabeli"/>
              <w:spacing w:before="60" w:after="60"/>
              <w:rPr>
                <w:lang w:val="de-D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GB"/>
              </w:rPr>
              <w:t xml:space="preserve">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Descriptive Grammar of German II</w:t>
            </w:r>
          </w:p>
        </w:tc>
      </w:tr>
    </w:tbl>
    <w:p w14:paraId="7941ECD8" w14:textId="77777777" w:rsidR="00634306" w:rsidRDefault="0063430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634306" w14:paraId="33562AC3" w14:textId="7777777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12802FE" w14:textId="77777777" w:rsidR="00634306" w:rsidRDefault="00634306">
            <w:pPr>
              <w:autoSpaceDE/>
              <w:spacing w:before="57" w:after="57" w:line="100" w:lineRule="atLeast"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707B31A" w14:textId="77777777" w:rsidR="00634306" w:rsidRDefault="00634306">
            <w:pPr>
              <w:autoSpaceDE/>
              <w:snapToGrid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D6EA46A" w14:textId="77777777" w:rsidR="00634306" w:rsidRDefault="00634306">
            <w:pPr>
              <w:autoSpaceDE/>
              <w:spacing w:line="100" w:lineRule="atLeast"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A66AA5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BB3471F" w14:textId="77777777" w:rsidR="00634306" w:rsidRDefault="006343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634306" w14:paraId="25DDD148" w14:textId="7777777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7BC204A" w14:textId="77777777" w:rsidR="00634306" w:rsidRDefault="00634306">
            <w:pPr>
              <w:autoSpaceDE/>
              <w:spacing w:before="57" w:after="57"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72FA149" w14:textId="77777777" w:rsidR="00634306" w:rsidRDefault="00634306" w:rsidP="00B72341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B72341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  <w:tc>
          <w:tcPr>
            <w:tcW w:w="33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94B1E4C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1D62CF6" w14:textId="77777777" w:rsidR="00634306" w:rsidRDefault="006343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87D406" w14:textId="77777777" w:rsidR="00634306" w:rsidRDefault="00634306" w:rsidP="00B72341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B72341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</w:tr>
    </w:tbl>
    <w:p w14:paraId="49B28E99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62155C72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68886B96" w14:textId="77777777" w:rsidR="00634306" w:rsidRDefault="00634306">
      <w:r>
        <w:rPr>
          <w:rFonts w:ascii="Arial" w:hAnsi="Arial" w:cs="Arial"/>
          <w:sz w:val="20"/>
          <w:szCs w:val="20"/>
        </w:rPr>
        <w:t>Opis kursu (cele kształcenia)</w:t>
      </w:r>
    </w:p>
    <w:p w14:paraId="54944217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34306" w14:paraId="462ABE23" w14:textId="77777777">
        <w:trPr>
          <w:trHeight w:val="1365"/>
        </w:trPr>
        <w:tc>
          <w:tcPr>
            <w:tcW w:w="9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B85C13" w14:textId="77777777" w:rsidR="00634306" w:rsidRDefault="00634306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B11812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podstawowych zagadnień z zakresu składni języka niemieckiego. Kurs prowadzony jest w j. niemieckim.</w:t>
            </w:r>
          </w:p>
          <w:p w14:paraId="19F55C35" w14:textId="77777777" w:rsidR="00634306" w:rsidRDefault="0063430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DF25DB" w14:textId="77777777" w:rsidR="00634306" w:rsidRDefault="00634306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FBC4323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646863DD" w14:textId="77777777" w:rsidR="00634306" w:rsidRDefault="006343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CC0070" w14:textId="77777777" w:rsidR="00634306" w:rsidRDefault="00634306">
            <w:pPr>
              <w:pStyle w:val="Kolorowalistaakcent11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poznaje rodzaje związków gramatycznych w zdaniu i potrafi je właściwie zinterpretować na materiale praktycznym. </w:t>
            </w:r>
          </w:p>
          <w:p w14:paraId="1439726D" w14:textId="77777777" w:rsidR="00634306" w:rsidRDefault="00634306">
            <w:pPr>
              <w:pStyle w:val="Kolorowalistaakcent11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potrafi sklasyfikować wypowiedzenia ze względu na znaczenie i formę oraz struktury zdań. </w:t>
            </w:r>
          </w:p>
          <w:p w14:paraId="7AE779BD" w14:textId="77777777" w:rsidR="00634306" w:rsidRDefault="00634306">
            <w:pPr>
              <w:pStyle w:val="Kolorowalistaakcent11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potrafi dokonać charakterystyki poszczególnych części zdania; opis podmiotu, orzeczenia, dopełnienia, okolicznika oraz przydawki jako składnika członu zdania, a także  przedstawienia sekundarnych części zdania.</w:t>
            </w:r>
          </w:p>
          <w:p w14:paraId="1D364611" w14:textId="77777777" w:rsidR="00634306" w:rsidRDefault="00634306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CD14E3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06A72FF2" w14:textId="77777777" w:rsidR="00634306" w:rsidRDefault="00634306">
      <w:r>
        <w:rPr>
          <w:rFonts w:ascii="Arial" w:hAnsi="Arial" w:cs="Arial"/>
          <w:sz w:val="20"/>
          <w:szCs w:val="20"/>
        </w:rPr>
        <w:t>Warunki wstępne</w:t>
      </w:r>
    </w:p>
    <w:p w14:paraId="56E7048B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634306" w14:paraId="61A3476D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7A63A16" w14:textId="77777777" w:rsidR="00634306" w:rsidRDefault="0063430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0F45EB" w14:textId="77777777" w:rsidR="00634306" w:rsidRDefault="0063430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7FA1FD0" w14:textId="77777777" w:rsidR="00634306" w:rsidRDefault="00634306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podstaw morfologii języka niemieckiego</w:t>
            </w:r>
          </w:p>
        </w:tc>
      </w:tr>
      <w:tr w:rsidR="00634306" w14:paraId="1AF8EC11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F80AC5" w14:textId="77777777" w:rsidR="00634306" w:rsidRDefault="0063430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C2102A" w14:textId="77777777" w:rsidR="00634306" w:rsidRDefault="0063430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4F30AFA" w14:textId="77777777" w:rsidR="00634306" w:rsidRDefault="00634306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Umiejętność opisu i analizy części mowy w języku niemieckim </w:t>
            </w:r>
          </w:p>
        </w:tc>
      </w:tr>
      <w:tr w:rsidR="00634306" w14:paraId="098A6134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A851A72" w14:textId="77777777" w:rsidR="00634306" w:rsidRDefault="0063430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547230" w14:textId="77777777" w:rsidR="00634306" w:rsidRDefault="0063430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5AD6F0F" w14:textId="77777777" w:rsidR="00634306" w:rsidRDefault="00634306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Gramatyka opisowa języka niemieckiego I</w:t>
            </w:r>
          </w:p>
        </w:tc>
      </w:tr>
    </w:tbl>
    <w:p w14:paraId="1CBFB7B3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01F6FD29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7B5ACB08" w14:textId="77777777" w:rsidR="00634306" w:rsidRDefault="00634306">
      <w:r>
        <w:rPr>
          <w:rFonts w:ascii="Arial" w:hAnsi="Arial" w:cs="Arial"/>
          <w:sz w:val="20"/>
          <w:szCs w:val="20"/>
        </w:rPr>
        <w:t>Efekty uczenia się</w:t>
      </w:r>
    </w:p>
    <w:p w14:paraId="652BFA80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45"/>
      </w:tblGrid>
      <w:tr w:rsidR="00634306" w14:paraId="3400A323" w14:textId="77777777">
        <w:trPr>
          <w:cantSplit/>
          <w:trHeight w:val="930"/>
        </w:trPr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335F65C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8391CE9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16E94B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4306" w14:paraId="52ADE1D9" w14:textId="77777777">
        <w:trPr>
          <w:cantSplit/>
          <w:trHeight w:val="1838"/>
        </w:trPr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77F34B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616BA8F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W1: posiada podstawową wiedzę o miejscu i znaczeniu filologii w systemie nauk oraz ich specyfice przedmiotowej i metodologicznej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14:paraId="30FFC483" w14:textId="77777777" w:rsidR="00634306" w:rsidRDefault="00634306">
            <w:pPr>
              <w:jc w:val="both"/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W2: </w:t>
            </w:r>
            <w:r>
              <w:rPr>
                <w:rFonts w:ascii="Arial" w:hAnsi="Arial" w:cs="Arial"/>
                <w:sz w:val="20"/>
                <w:szCs w:val="20"/>
              </w:rPr>
              <w:t>zna podstawową terminologię, wybrane teorie i główne szkoły badawcze z zakresu filologii germańskiej,</w:t>
            </w:r>
          </w:p>
          <w:p w14:paraId="5F2290C8" w14:textId="77777777" w:rsidR="00634306" w:rsidRDefault="00634306">
            <w:pPr>
              <w:jc w:val="both"/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W3: </w:t>
            </w:r>
            <w:r>
              <w:rPr>
                <w:rFonts w:ascii="Arial" w:hAnsi="Arial" w:cs="Arial"/>
                <w:sz w:val="20"/>
                <w:szCs w:val="20"/>
              </w:rPr>
              <w:t>posiada podstawową wiedzę o głównych kierunkach rozwoju i najważniejszych nowych osiągnięciach w zakresie filologii germańskiej</w:t>
            </w: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193587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14:paraId="7E2752F5" w14:textId="77777777" w:rsidR="00634306" w:rsidRDefault="00634306">
            <w:r>
              <w:rPr>
                <w:rFonts w:ascii="Arial" w:eastAsia="Arial" w:hAnsi="Arial" w:cs="Arial"/>
                <w:sz w:val="20"/>
                <w:szCs w:val="20"/>
              </w:rPr>
              <w:t xml:space="preserve">     </w:t>
            </w:r>
          </w:p>
          <w:p w14:paraId="45A675D1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02B3A9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B320FA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14:paraId="3B04F4B5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2C8E15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539CA9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</w:tc>
      </w:tr>
    </w:tbl>
    <w:p w14:paraId="73BE35BE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6320BA26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632"/>
      </w:tblGrid>
      <w:tr w:rsidR="00634306" w14:paraId="0D3736E8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923505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1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08EC43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5CB276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4306" w14:paraId="17EC919F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A421430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40D27DD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U1:  potrafi wyszukiwać, analizować, oceniać, selekcjonować i użytkować informacje z wykorzystaniem różnych źródeł i sposobów</w:t>
            </w:r>
          </w:p>
          <w:p w14:paraId="37BF2C7E" w14:textId="77777777" w:rsidR="00634306" w:rsidRDefault="006343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1AA422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U2: formułuje i analizuje problemy badawcze w zakresie językoznawstwa </w:t>
            </w:r>
          </w:p>
          <w:p w14:paraId="65177554" w14:textId="77777777" w:rsidR="00634306" w:rsidRDefault="006343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FD1492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U3: posługuje się podstawowymi ujęciami teoretycznymi i pojęciami właściwymi dla filologii</w:t>
            </w:r>
          </w:p>
        </w:tc>
        <w:tc>
          <w:tcPr>
            <w:tcW w:w="2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0B04F3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30C9A4F0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C949AE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C5E6B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F1047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0052BA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077288BC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F43BA2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09D8D" w14:textId="77777777" w:rsidR="00634306" w:rsidRDefault="006343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C9130D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14:paraId="699B4791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05157878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634306" w14:paraId="11ED8B5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3BB5190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434BD1A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478CB3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4306" w14:paraId="0ACE2132" w14:textId="77777777">
        <w:trPr>
          <w:cantSplit/>
          <w:trHeight w:val="921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075A0D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2168F91" w14:textId="77777777" w:rsidR="00634306" w:rsidRDefault="00634306">
            <w:pPr>
              <w:jc w:val="both"/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 potrafi pracować w grupie</w:t>
            </w:r>
          </w:p>
        </w:tc>
        <w:tc>
          <w:tcPr>
            <w:tcW w:w="2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8EAEA0" w14:textId="77777777" w:rsidR="00634306" w:rsidRDefault="00634306"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K1_K04</w:t>
            </w:r>
          </w:p>
        </w:tc>
      </w:tr>
    </w:tbl>
    <w:p w14:paraId="20DC3250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634306" w14:paraId="4CFA8448" w14:textId="77777777">
        <w:trPr>
          <w:cantSplit/>
          <w:trHeight w:hRule="exact" w:val="424"/>
        </w:trPr>
        <w:tc>
          <w:tcPr>
            <w:tcW w:w="968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A82F4EA" w14:textId="77777777" w:rsidR="00634306" w:rsidRDefault="00634306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34306" w14:paraId="7264B61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1B19EBD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62397AB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7E6140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659DD4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34306" w14:paraId="4E619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CAA75A9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2709E0C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56C2167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04A4D99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D8FD6FA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236F9FB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220DEC4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20EAABE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7B914F1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2652AD5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E28F995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4FB988E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31847BD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851ACB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408BC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20132E1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309A09A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3631CFF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C5C2F6F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94BC7E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01021B1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5E936C7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EE741F6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DA7A20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3D02C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D26F808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B063920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8CA61E1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719EC40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8892239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FF2CFC8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119F4DC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D38785" w14:textId="77777777" w:rsidR="00634306" w:rsidRDefault="0063430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7A0211" w14:textId="77777777" w:rsidR="00634306" w:rsidRDefault="00634306">
      <w:pPr>
        <w:pStyle w:val="Zawartotabeli"/>
        <w:rPr>
          <w:rFonts w:ascii="Arial" w:hAnsi="Arial" w:cs="Arial"/>
          <w:sz w:val="20"/>
          <w:szCs w:val="20"/>
        </w:rPr>
      </w:pPr>
    </w:p>
    <w:p w14:paraId="76AE2076" w14:textId="77777777" w:rsidR="00634306" w:rsidRDefault="00634306">
      <w:pPr>
        <w:pStyle w:val="Zawartotabeli"/>
        <w:rPr>
          <w:rFonts w:ascii="Arial" w:hAnsi="Arial" w:cs="Arial"/>
          <w:sz w:val="20"/>
          <w:szCs w:val="20"/>
        </w:rPr>
      </w:pPr>
    </w:p>
    <w:p w14:paraId="11204A5A" w14:textId="77777777" w:rsidR="00634306" w:rsidRDefault="00634306">
      <w:r>
        <w:rPr>
          <w:rFonts w:ascii="Arial" w:hAnsi="Arial" w:cs="Arial"/>
          <w:sz w:val="20"/>
          <w:szCs w:val="20"/>
        </w:rPr>
        <w:t>Opis metod prowadzenia zajęć</w:t>
      </w:r>
    </w:p>
    <w:p w14:paraId="1ED11F5C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634306" w14:paraId="3A781746" w14:textId="77777777">
        <w:trPr>
          <w:trHeight w:val="128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ACDCE5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14:paraId="1DA31A2E" w14:textId="77777777" w:rsidR="00634306" w:rsidRDefault="0063430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14:paraId="15301A26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streszczanie)</w:t>
            </w:r>
          </w:p>
          <w:p w14:paraId="7167E98F" w14:textId="77777777" w:rsidR="00634306" w:rsidRDefault="00634306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Zajęcia prowadzone są w formie hybrydowej (stacjonarnie w budynku uczelni i zdalnie na platformie MS Teams).</w:t>
            </w:r>
          </w:p>
        </w:tc>
      </w:tr>
    </w:tbl>
    <w:p w14:paraId="2C21A9E1" w14:textId="77777777" w:rsidR="00634306" w:rsidRDefault="00634306">
      <w:pPr>
        <w:pStyle w:val="Zawartotabeli"/>
        <w:rPr>
          <w:rFonts w:ascii="Arial" w:hAnsi="Arial" w:cs="Arial"/>
          <w:sz w:val="20"/>
          <w:szCs w:val="20"/>
        </w:rPr>
      </w:pPr>
    </w:p>
    <w:p w14:paraId="227EE13A" w14:textId="77777777" w:rsidR="00634306" w:rsidRDefault="00634306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7893224B" w14:textId="77777777" w:rsidR="00634306" w:rsidRDefault="0063430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634306" w14:paraId="525B2824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F97883D" w14:textId="77777777" w:rsidR="00634306" w:rsidRDefault="00634306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35262B4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AA1655C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CBA6FB0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5B70C1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017055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3F4D03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7A47A6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BAA29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95BAE4D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D3A9DC8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(testy)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C3EB62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29CD64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5B95769" w14:textId="77777777" w:rsidR="00634306" w:rsidRDefault="00634306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34306" w14:paraId="72B79011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1FD47C" w14:textId="77777777" w:rsidR="00634306" w:rsidRDefault="00634306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273FA2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C11898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D96B0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EC4714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6FD269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E7E1A3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8C7D561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518F53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F45FF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1311B3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9AE0F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B5FF08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05CDDE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397A8963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71ED4E4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D9D3E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A3B4D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5D671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497045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64CB67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DBFB11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3BB469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84F5F1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DBD134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F589A4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AE1292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10B5B81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C2566F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62402F55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CF5631F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E87307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91BA6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A983C5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3101CB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1EB1CC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E97ABE9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AAEA73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6F131B0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0C2D24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2C8FC0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939223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45A3D4E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EA51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5076D26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64B0C3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8DDFD5C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4D8810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69BF41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DAFA99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CCC58E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8C3A9BC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53604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A12224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A78835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0213DE2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64FDEC5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121F2F9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731844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6A1FE12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7384D3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BB7BB3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6857558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8F3795A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833700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E1FBE1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388AA66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FDE5B8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629570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80BE279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FC0E4D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BD91B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D8BE922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7B740D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4306" w14:paraId="538B7E96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40C70A0" w14:textId="77777777" w:rsidR="00634306" w:rsidRDefault="0063430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49887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04E4A5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2C45640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12D9397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83E67E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2E330F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669A4A3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DDC10D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4406A2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FBF58E2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C19C7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09C23D9" w14:textId="77777777" w:rsidR="00634306" w:rsidRDefault="00634306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181286" w14:textId="77777777" w:rsidR="00634306" w:rsidRDefault="006343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842D84" w14:textId="77777777" w:rsidR="00634306" w:rsidRDefault="0063430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634306" w14:paraId="168CF1DC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ED2DF71" w14:textId="77777777" w:rsidR="00634306" w:rsidRDefault="00634306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D2DEA0" w14:textId="77777777" w:rsidR="00634306" w:rsidRDefault="00634306">
            <w:pPr>
              <w:pStyle w:val="Zawartotabeli"/>
              <w:spacing w:before="57" w:after="57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6B35B2B" w14:textId="77777777" w:rsidR="00634306" w:rsidRDefault="00634306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dyskusji, pozytywne zaliczenie pisemnych prac kontrolnych oraz pozytywna ocena z pisemnego egzaminu końcowego. </w:t>
            </w:r>
          </w:p>
          <w:p w14:paraId="39BD5F8E" w14:textId="77777777" w:rsidR="00634306" w:rsidRDefault="00634306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 kończy się egzaminem z oceną. </w:t>
            </w:r>
          </w:p>
          <w:p w14:paraId="3107A9BF" w14:textId="77777777" w:rsidR="00634306" w:rsidRDefault="00634306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Standardowa skala ocen:</w:t>
            </w:r>
          </w:p>
          <w:p w14:paraId="0E07D217" w14:textId="77777777" w:rsidR="00634306" w:rsidRDefault="00634306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5D137DB1" w14:textId="77777777" w:rsidR="00634306" w:rsidRDefault="00634306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4FC9D820" w14:textId="77777777" w:rsidR="00634306" w:rsidRDefault="00634306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0D7521E3" w14:textId="77777777" w:rsidR="00634306" w:rsidRDefault="00634306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61A1C845" w14:textId="77777777" w:rsidR="00634306" w:rsidRDefault="00634306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382742E3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634306" w14:paraId="24CEE1FB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53DE09F" w14:textId="77777777" w:rsidR="00634306" w:rsidRDefault="00634306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1DF0BA7" w14:textId="77777777" w:rsidR="00634306" w:rsidRDefault="00634306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C02BA2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7A56AA55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69D17FD4" w14:textId="77777777" w:rsidR="00634306" w:rsidRDefault="00634306">
      <w:r>
        <w:t>Treści merytoryczne (wykaz tematów)</w:t>
      </w: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634306" w14:paraId="419671B7" w14:textId="77777777">
        <w:trPr>
          <w:trHeight w:val="1136"/>
        </w:trPr>
        <w:tc>
          <w:tcPr>
            <w:tcW w:w="97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21D916" w14:textId="77777777" w:rsidR="00634306" w:rsidRDefault="0063430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91D824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Przedmiot składni. Związki gramatyczne w zdaniu.  Podział wypowiedzeń ze względu na znaczenie.</w:t>
            </w:r>
          </w:p>
          <w:p w14:paraId="5C1DAAED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>Testy syntaktyczne: test przestawienia, substytucji, eliminacji, zapytania.</w:t>
            </w:r>
          </w:p>
          <w:p w14:paraId="79333BBB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 xml:space="preserve">Podmiot. </w:t>
            </w:r>
          </w:p>
          <w:p w14:paraId="3D877BE1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>Rodzaje orzeczeń. Orzeczenie proste. Orzeczenie złożone. Typy orzeczników i łączników w orzeczeniu złożonym.</w:t>
            </w:r>
          </w:p>
          <w:p w14:paraId="11A845D3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>Rodzaje dopełnień. Dopełnienie w dopełniaczu, w celowniku, w bierniku, dopełnienie przyimkowe.</w:t>
            </w:r>
          </w:p>
          <w:p w14:paraId="7F8B7662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>Rodzaje okoliczników. Okolicznik miejsca. Okolicznik czasu. Okolicznik sposobu. Okolicznik przyczyny. Forma okoliczników.</w:t>
            </w:r>
          </w:p>
          <w:p w14:paraId="2449796D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>Przydawka jako składnik części zdania.</w:t>
            </w:r>
          </w:p>
          <w:p w14:paraId="31C40CC3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/>
            </w:pPr>
            <w:r>
              <w:rPr>
                <w:rFonts w:ascii="Arial" w:hAnsi="Arial" w:cs="Arial"/>
                <w:sz w:val="20"/>
                <w:szCs w:val="20"/>
              </w:rPr>
              <w:t xml:space="preserve">Zdania współrzędne: łączne, rozłączne, przeciwstawne, wyłączające, wynikowe, przyzwalające. Spójniki i przysłówki spójnikowe. </w:t>
            </w:r>
          </w:p>
          <w:p w14:paraId="492A573A" w14:textId="77777777" w:rsidR="00634306" w:rsidRDefault="00634306">
            <w:pPr>
              <w:widowControl/>
              <w:numPr>
                <w:ilvl w:val="1"/>
                <w:numId w:val="5"/>
              </w:numPr>
              <w:suppressAutoHyphens w:val="0"/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Zdania podrzędne podmiotowe, orzecznikowe, dopełnieniowe, okolicznikowe, przydawkowe. Zdanie rozwijające. </w:t>
            </w:r>
          </w:p>
          <w:p w14:paraId="7861235C" w14:textId="77777777" w:rsidR="00634306" w:rsidRDefault="00634306">
            <w:pPr>
              <w:pStyle w:val="western"/>
              <w:numPr>
                <w:ilvl w:val="1"/>
                <w:numId w:val="5"/>
              </w:numPr>
              <w:spacing w:before="0" w:after="28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Szczególne rodzaje połączeń zdań</w:t>
            </w:r>
          </w:p>
        </w:tc>
      </w:tr>
    </w:tbl>
    <w:p w14:paraId="43954588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50995A42" w14:textId="77777777" w:rsidR="00634306" w:rsidRDefault="00634306">
      <w:pPr>
        <w:rPr>
          <w:rFonts w:ascii="Arial" w:hAnsi="Arial" w:cs="Arial"/>
          <w:sz w:val="20"/>
          <w:szCs w:val="20"/>
        </w:rPr>
      </w:pPr>
    </w:p>
    <w:p w14:paraId="26286660" w14:textId="77777777" w:rsidR="00634306" w:rsidRDefault="00634306">
      <w:r>
        <w:rPr>
          <w:rFonts w:ascii="Arial" w:hAnsi="Arial" w:cs="Arial"/>
          <w:sz w:val="20"/>
          <w:szCs w:val="20"/>
        </w:rPr>
        <w:t>Wykaz literatury podstawowej</w:t>
      </w:r>
    </w:p>
    <w:p w14:paraId="76EC46E4" w14:textId="77777777" w:rsidR="00634306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w:rsidR="00634306" w14:paraId="4F66504E" w14:textId="77777777">
        <w:trPr>
          <w:trHeight w:val="1098"/>
        </w:trPr>
        <w:tc>
          <w:tcPr>
            <w:tcW w:w="9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6886BF" w14:textId="77777777" w:rsidR="00634306" w:rsidRDefault="0063430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063936" w14:textId="77777777" w:rsidR="00634306" w:rsidRPr="00B72341" w:rsidRDefault="00634306">
            <w:pPr>
              <w:pStyle w:val="Akapitzlist"/>
              <w:numPr>
                <w:ilvl w:val="0"/>
                <w:numId w:val="2"/>
              </w:numPr>
              <w:ind w:left="383" w:hanging="360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Duden Band 4 –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Die Grammatik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(2009), Mannheim u.a. </w:t>
            </w:r>
          </w:p>
          <w:p w14:paraId="43CD8EB4" w14:textId="77777777" w:rsidR="00634306" w:rsidRPr="00B72341" w:rsidRDefault="00634306">
            <w:pPr>
              <w:pStyle w:val="Akapitzlist"/>
              <w:numPr>
                <w:ilvl w:val="0"/>
                <w:numId w:val="2"/>
              </w:numPr>
              <w:ind w:left="383" w:hanging="360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 G., Buscha J.(1999):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 Ein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Handbuch für den Ausländerunterricht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Leipzig.</w:t>
            </w:r>
          </w:p>
          <w:p w14:paraId="3FE8712D" w14:textId="77777777" w:rsidR="00634306" w:rsidRPr="00B72341" w:rsidRDefault="00634306">
            <w:pPr>
              <w:pStyle w:val="western"/>
              <w:numPr>
                <w:ilvl w:val="0"/>
                <w:numId w:val="2"/>
              </w:numPr>
              <w:spacing w:before="0" w:after="0"/>
              <w:ind w:left="383" w:hanging="360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G., Buscha, J. (2000):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Leitfaden der deutschen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Grammatik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Berlin und München. </w:t>
            </w:r>
          </w:p>
          <w:p w14:paraId="534A9766" w14:textId="77777777" w:rsidR="00634306" w:rsidRPr="00B72341" w:rsidRDefault="00634306">
            <w:pPr>
              <w:pStyle w:val="Akapitzlist"/>
              <w:numPr>
                <w:ilvl w:val="0"/>
                <w:numId w:val="2"/>
              </w:numPr>
              <w:ind w:left="383" w:hanging="360"/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 G., Buscha J.(2000):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Übungsgrammatik Deutsch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Berlin. </w:t>
            </w:r>
          </w:p>
          <w:p w14:paraId="6F9F0BE7" w14:textId="77777777" w:rsidR="00634306" w:rsidRDefault="00634306">
            <w:pPr>
              <w:pStyle w:val="Akapitzlist"/>
              <w:ind w:left="23"/>
            </w:pPr>
            <w:r>
              <w:rPr>
                <w:rFonts w:ascii="Arial" w:hAnsi="Arial" w:cs="Arial"/>
                <w:sz w:val="20"/>
                <w:szCs w:val="20"/>
              </w:rPr>
              <w:t>Materiały własne prowadzącego.</w:t>
            </w:r>
          </w:p>
          <w:p w14:paraId="439893AE" w14:textId="77777777" w:rsidR="00634306" w:rsidRDefault="00634306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23238EDD" w14:textId="77777777" w:rsidR="00634306" w:rsidRDefault="00634306">
      <w:pPr>
        <w:rPr>
          <w:rFonts w:ascii="Arial" w:hAnsi="Arial" w:cs="Arial"/>
          <w:sz w:val="20"/>
          <w:szCs w:val="20"/>
          <w:lang w:val="it-IT"/>
        </w:rPr>
      </w:pPr>
    </w:p>
    <w:p w14:paraId="262C758D" w14:textId="77777777" w:rsidR="00634306" w:rsidRDefault="00634306">
      <w:pPr>
        <w:rPr>
          <w:rFonts w:ascii="Arial" w:hAnsi="Arial" w:cs="Arial"/>
          <w:sz w:val="20"/>
          <w:szCs w:val="20"/>
          <w:lang w:val="it-IT"/>
        </w:rPr>
      </w:pPr>
    </w:p>
    <w:p w14:paraId="12A65DB8" w14:textId="77777777" w:rsidR="00634306" w:rsidRDefault="00634306">
      <w:pPr>
        <w:rPr>
          <w:rFonts w:ascii="Arial" w:hAnsi="Arial" w:cs="Arial"/>
          <w:sz w:val="20"/>
          <w:szCs w:val="20"/>
          <w:lang w:val="it-IT"/>
        </w:rPr>
      </w:pPr>
    </w:p>
    <w:p w14:paraId="136617DD" w14:textId="77777777" w:rsidR="00634306" w:rsidRDefault="00634306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EAE3FB8" w14:textId="77777777" w:rsidR="00634306" w:rsidRDefault="00634306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2"/>
      </w:tblGrid>
      <w:tr w:rsidR="00634306" w14:paraId="3F5E2741" w14:textId="77777777">
        <w:trPr>
          <w:trHeight w:val="1112"/>
        </w:trPr>
        <w:tc>
          <w:tcPr>
            <w:tcW w:w="97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CF45CC" w14:textId="77777777" w:rsidR="00634306" w:rsidRDefault="00634306">
            <w:pPr>
              <w:pStyle w:val="Akapitzlist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Berdychowska, Z.: </w:t>
            </w:r>
            <w:r>
              <w:rPr>
                <w:rFonts w:ascii="Arial" w:hAnsi="Arial" w:cs="Arial"/>
                <w:i/>
                <w:sz w:val="20"/>
                <w:szCs w:val="20"/>
              </w:rPr>
              <w:t>Polsko – niemiecka terminologia gramatyczna</w:t>
            </w:r>
            <w:r>
              <w:rPr>
                <w:rFonts w:ascii="Arial" w:hAnsi="Arial" w:cs="Arial"/>
                <w:sz w:val="20"/>
                <w:szCs w:val="20"/>
              </w:rPr>
              <w:t xml:space="preserve">. Kraków 1996 </w:t>
            </w:r>
          </w:p>
          <w:p w14:paraId="63B54F51" w14:textId="77777777" w:rsidR="00634306" w:rsidRDefault="00634306">
            <w:pPr>
              <w:pStyle w:val="Akapitzlist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Czochralski, J.(1990):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Gramatyka niemiecka dla Polaków</w:t>
            </w:r>
            <w:r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3DB0B6B6" w14:textId="77777777" w:rsidR="00634306" w:rsidRDefault="00634306">
            <w:pPr>
              <w:pStyle w:val="Akapitzlist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Musan, R. (2013):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Satzgliedanalyse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Heidelberg. </w:t>
            </w:r>
          </w:p>
        </w:tc>
      </w:tr>
    </w:tbl>
    <w:p w14:paraId="1A14B8DD" w14:textId="77777777" w:rsidR="00634306" w:rsidRDefault="00634306">
      <w:pPr>
        <w:rPr>
          <w:rFonts w:ascii="Arial" w:hAnsi="Arial" w:cs="Arial"/>
          <w:sz w:val="20"/>
          <w:szCs w:val="20"/>
          <w:lang w:val="it-IT"/>
        </w:rPr>
      </w:pPr>
    </w:p>
    <w:p w14:paraId="2804BE5E" w14:textId="77777777" w:rsidR="00634306" w:rsidRDefault="00634306">
      <w:pPr>
        <w:pStyle w:val="Tekstdymka1"/>
      </w:pPr>
      <w:r w:rsidRPr="00B7234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5907EBF2" w14:textId="77777777" w:rsidR="00634306" w:rsidRPr="00B72341" w:rsidRDefault="006343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634306" w14:paraId="01BC31CF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FF38DEA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D980C2B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17B65F" w14:textId="77777777" w:rsidR="00634306" w:rsidRDefault="00634306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34306" w14:paraId="0E611FE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BCF76C4" w14:textId="77777777" w:rsidR="00634306" w:rsidRDefault="00634306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10C0942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CC0177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34306" w14:paraId="0129582E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129DF1" w14:textId="77777777" w:rsidR="00634306" w:rsidRDefault="00634306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841EE08" w14:textId="77777777" w:rsidR="00634306" w:rsidRDefault="00634306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558DB0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34306" w14:paraId="7567A86D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A289BE1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2F0BEEF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8D9C502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4306" w14:paraId="4C92928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4B56179" w14:textId="77777777" w:rsidR="00634306" w:rsidRDefault="0063430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D692CCE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E8D07A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4306" w14:paraId="6E433B74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E0C9725" w14:textId="77777777" w:rsidR="00634306" w:rsidRDefault="0063430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40F2635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3988D5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34306" w14:paraId="1ABD9987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44CB672" w14:textId="77777777" w:rsidR="00634306" w:rsidRDefault="0063430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DFFFD12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9C6438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4306" w14:paraId="6A098276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6B79A12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9E900F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634306" w14:paraId="450BC811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9DEE22E" w14:textId="77777777" w:rsidR="00634306" w:rsidRDefault="0063430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97B51C" w14:textId="77777777" w:rsidR="00634306" w:rsidRDefault="0063430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7007064B" w14:textId="77777777" w:rsidR="00634306" w:rsidRDefault="00634306">
      <w:pPr>
        <w:pStyle w:val="Tekstdymka1"/>
      </w:pPr>
      <w:bookmarkStart w:id="1" w:name="_PictureBullets"/>
      <w:bookmarkEnd w:id="1"/>
    </w:p>
    <w:sectPr w:rsidR="0063430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C0A2E" w14:textId="77777777" w:rsidR="005C4FCF" w:rsidRDefault="005C4FCF">
      <w:r>
        <w:separator/>
      </w:r>
    </w:p>
  </w:endnote>
  <w:endnote w:type="continuationSeparator" w:id="0">
    <w:p w14:paraId="60926A2C" w14:textId="77777777" w:rsidR="005C4FCF" w:rsidRDefault="005C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Regular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16E97" w14:textId="77777777" w:rsidR="00634306" w:rsidRDefault="0063430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72341">
      <w:rPr>
        <w:noProof/>
      </w:rPr>
      <w:t>3</w:t>
    </w:r>
    <w:r>
      <w:fldChar w:fldCharType="end"/>
    </w:r>
  </w:p>
  <w:p w14:paraId="6EAC836D" w14:textId="77777777" w:rsidR="00634306" w:rsidRDefault="006343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92023" w14:textId="77777777" w:rsidR="00634306" w:rsidRDefault="006343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BC50E" w14:textId="77777777" w:rsidR="005C4FCF" w:rsidRDefault="005C4FCF">
      <w:r>
        <w:separator/>
      </w:r>
    </w:p>
  </w:footnote>
  <w:footnote w:type="continuationSeparator" w:id="0">
    <w:p w14:paraId="516A3665" w14:textId="77777777" w:rsidR="005C4FCF" w:rsidRDefault="005C4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02F8C" w14:textId="77777777" w:rsidR="00634306" w:rsidRDefault="006343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DB4C" w14:textId="77777777" w:rsidR="00634306" w:rsidRDefault="006343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914">
    <w:abstractNumId w:val="0"/>
  </w:num>
  <w:num w:numId="2" w16cid:durableId="1748922097">
    <w:abstractNumId w:val="1"/>
  </w:num>
  <w:num w:numId="3" w16cid:durableId="1804930803">
    <w:abstractNumId w:val="2"/>
  </w:num>
  <w:num w:numId="4" w16cid:durableId="1060976159">
    <w:abstractNumId w:val="3"/>
  </w:num>
  <w:num w:numId="5" w16cid:durableId="330714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2341"/>
    <w:rsid w:val="005C4FCF"/>
    <w:rsid w:val="00615533"/>
    <w:rsid w:val="00634306"/>
    <w:rsid w:val="00B7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DAEAA0"/>
  <w15:chartTrackingRefBased/>
  <w15:docId w15:val="{10BE8B8B-29FD-4CB8-A98C-D6EC16B7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20"/>
      <w:lang w:val="de-DE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ascii="Times New Roman" w:eastAsia="Arial Unicode MS" w:hAnsi="Times New Roman" w:cs="Times New Roman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Times New Roman" w:eastAsia="Arial Unicode MS" w:hAnsi="Times New Roman" w:cs="Times New Roman"/>
      <w:sz w:val="20"/>
      <w:szCs w:val="20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 w:hint="default"/>
      <w:sz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  <w:style w:type="paragraph" w:styleId="Akapitzlist">
    <w:name w:val="List Paragraph"/>
    <w:basedOn w:val="Normalny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8FC221-8C66-4864-8B5B-1EA9AFBAF2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5FA65A-B6DF-490A-A665-45BD2AE85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8DD8C-15E8-4F21-B779-51E1EF09A9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2018-09-25T12:30:00Z</cp:lastPrinted>
  <dcterms:created xsi:type="dcterms:W3CDTF">2025-09-22T14:50:00Z</dcterms:created>
  <dcterms:modified xsi:type="dcterms:W3CDTF">2025-09-22T14:50:00Z</dcterms:modified>
</cp:coreProperties>
</file>